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4E972" w14:textId="77777777" w:rsidR="00FD4564" w:rsidRPr="00190EB4" w:rsidRDefault="00FD4564" w:rsidP="00FD4564">
      <w:pPr>
        <w:spacing w:after="0" w:line="240" w:lineRule="auto"/>
        <w:jc w:val="center"/>
        <w:rPr>
          <w:sz w:val="18"/>
          <w:szCs w:val="18"/>
          <w:lang w:val="it-IT"/>
        </w:rPr>
      </w:pPr>
      <w:r w:rsidRPr="00190EB4">
        <w:rPr>
          <w:sz w:val="18"/>
          <w:szCs w:val="18"/>
          <w:lang w:val="it-IT"/>
        </w:rPr>
        <w:t>Programma di Italiano classe I</w:t>
      </w:r>
      <w:r>
        <w:rPr>
          <w:sz w:val="18"/>
          <w:szCs w:val="18"/>
          <w:lang w:val="it-IT"/>
        </w:rPr>
        <w:t xml:space="preserve">V </w:t>
      </w:r>
      <w:r w:rsidRPr="00190EB4">
        <w:rPr>
          <w:sz w:val="18"/>
          <w:szCs w:val="18"/>
          <w:lang w:val="it-IT"/>
        </w:rPr>
        <w:t>sez. G</w:t>
      </w:r>
    </w:p>
    <w:p w14:paraId="3D0C6B31" w14:textId="77777777" w:rsidR="00FD4564" w:rsidRPr="00190EB4" w:rsidRDefault="00FD4564" w:rsidP="00FD4564">
      <w:pPr>
        <w:spacing w:after="0" w:line="240" w:lineRule="auto"/>
        <w:jc w:val="center"/>
        <w:rPr>
          <w:sz w:val="18"/>
          <w:szCs w:val="18"/>
          <w:lang w:val="it-IT"/>
        </w:rPr>
      </w:pPr>
      <w:r w:rsidRPr="00190EB4">
        <w:rPr>
          <w:sz w:val="18"/>
          <w:szCs w:val="18"/>
          <w:lang w:val="it-IT"/>
        </w:rPr>
        <w:t>Anno scolastico 2023/2024</w:t>
      </w:r>
    </w:p>
    <w:p w14:paraId="20791A29" w14:textId="77777777" w:rsidR="00FD4564" w:rsidRPr="00190EB4" w:rsidRDefault="00FD4564" w:rsidP="00FD4564">
      <w:pPr>
        <w:spacing w:after="0" w:line="240" w:lineRule="auto"/>
        <w:jc w:val="center"/>
        <w:rPr>
          <w:sz w:val="18"/>
          <w:szCs w:val="18"/>
          <w:lang w:val="it-IT"/>
        </w:rPr>
      </w:pPr>
      <w:r w:rsidRPr="00190EB4">
        <w:rPr>
          <w:sz w:val="18"/>
          <w:szCs w:val="18"/>
          <w:lang w:val="it-IT"/>
        </w:rPr>
        <w:t>Liceo Morgagni</w:t>
      </w:r>
    </w:p>
    <w:p w14:paraId="60ED5BD4" w14:textId="77777777" w:rsidR="00FD4564" w:rsidRPr="00190EB4" w:rsidRDefault="00FD4564" w:rsidP="00FD4564">
      <w:pPr>
        <w:spacing w:after="0" w:line="240" w:lineRule="auto"/>
        <w:jc w:val="center"/>
        <w:rPr>
          <w:sz w:val="18"/>
          <w:szCs w:val="18"/>
          <w:lang w:val="it-IT"/>
        </w:rPr>
      </w:pPr>
      <w:r w:rsidRPr="00190EB4">
        <w:rPr>
          <w:sz w:val="18"/>
          <w:szCs w:val="18"/>
          <w:lang w:val="it-IT"/>
        </w:rPr>
        <w:t>Insegnante Laura Comin</w:t>
      </w:r>
    </w:p>
    <w:p w14:paraId="0CE8B20E" w14:textId="77777777" w:rsidR="00FD4564" w:rsidRDefault="00FD4564" w:rsidP="00FD4564">
      <w:pPr>
        <w:spacing w:after="0" w:line="240" w:lineRule="auto"/>
        <w:rPr>
          <w:sz w:val="18"/>
          <w:szCs w:val="18"/>
          <w:lang w:val="it-IT"/>
        </w:rPr>
      </w:pPr>
    </w:p>
    <w:p w14:paraId="560374FD" w14:textId="77777777" w:rsidR="00FD4564" w:rsidRPr="00190EB4" w:rsidRDefault="00FD4564" w:rsidP="00FD4564">
      <w:pPr>
        <w:spacing w:after="0" w:line="240" w:lineRule="auto"/>
        <w:rPr>
          <w:sz w:val="18"/>
          <w:szCs w:val="18"/>
          <w:lang w:val="it-IT"/>
        </w:rPr>
      </w:pPr>
      <w:r w:rsidRPr="00190EB4">
        <w:rPr>
          <w:sz w:val="18"/>
          <w:szCs w:val="18"/>
          <w:lang w:val="it-IT"/>
        </w:rPr>
        <w:t>Libri di testo</w:t>
      </w:r>
    </w:p>
    <w:p w14:paraId="5DABE6B3" w14:textId="77777777" w:rsidR="00FD4564" w:rsidRDefault="00FD4564" w:rsidP="00FD4564">
      <w:pPr>
        <w:spacing w:after="0" w:line="240" w:lineRule="auto"/>
        <w:rPr>
          <w:sz w:val="18"/>
          <w:szCs w:val="18"/>
          <w:lang w:val="it-IT"/>
        </w:rPr>
      </w:pPr>
      <w:r w:rsidRPr="00190EB4">
        <w:rPr>
          <w:sz w:val="18"/>
          <w:szCs w:val="18"/>
          <w:lang w:val="it-IT"/>
        </w:rPr>
        <w:t>Bologna, Rocchi, Rossi: “Letteratura Visione del mondo. Vol. 1</w:t>
      </w:r>
      <w:r>
        <w:rPr>
          <w:sz w:val="18"/>
          <w:szCs w:val="18"/>
          <w:lang w:val="it-IT"/>
        </w:rPr>
        <w:t>B</w:t>
      </w:r>
      <w:r w:rsidRPr="00190EB4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Umanesimo Rinascimento e Manierismo</w:t>
      </w:r>
      <w:r w:rsidRPr="00190EB4">
        <w:rPr>
          <w:sz w:val="18"/>
          <w:szCs w:val="18"/>
          <w:lang w:val="it-IT"/>
        </w:rPr>
        <w:t>”</w:t>
      </w:r>
    </w:p>
    <w:p w14:paraId="26BE443C" w14:textId="77777777" w:rsidR="00FD4564" w:rsidRPr="00190EB4" w:rsidRDefault="00FD4564" w:rsidP="00FD4564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Vol. 2° “Dal Barocco all’Età dei Lumi” </w:t>
      </w:r>
      <w:r w:rsidRPr="00190EB4">
        <w:rPr>
          <w:sz w:val="18"/>
          <w:szCs w:val="18"/>
          <w:lang w:val="it-IT"/>
        </w:rPr>
        <w:t>Ed. Loescher</w:t>
      </w:r>
    </w:p>
    <w:p w14:paraId="6C4C7827" w14:textId="77777777" w:rsidR="00FD4564" w:rsidRDefault="00FD4564" w:rsidP="00FD4564">
      <w:pPr>
        <w:spacing w:after="0" w:line="240" w:lineRule="auto"/>
        <w:rPr>
          <w:sz w:val="18"/>
          <w:szCs w:val="18"/>
          <w:lang w:val="it-IT"/>
        </w:rPr>
      </w:pPr>
      <w:r w:rsidRPr="00190EB4">
        <w:rPr>
          <w:sz w:val="18"/>
          <w:szCs w:val="18"/>
          <w:lang w:val="it-IT"/>
        </w:rPr>
        <w:t xml:space="preserve">Divina Commedia </w:t>
      </w:r>
      <w:r>
        <w:rPr>
          <w:sz w:val="18"/>
          <w:szCs w:val="18"/>
          <w:lang w:val="it-IT"/>
        </w:rPr>
        <w:t>Purgatorio</w:t>
      </w:r>
    </w:p>
    <w:p w14:paraId="4CAA5F83" w14:textId="77777777" w:rsidR="00FD4564" w:rsidRDefault="00FD4564" w:rsidP="00FD4564">
      <w:pPr>
        <w:spacing w:after="0" w:line="240" w:lineRule="auto"/>
        <w:rPr>
          <w:sz w:val="18"/>
          <w:szCs w:val="18"/>
          <w:lang w:val="it-IT"/>
        </w:rPr>
      </w:pPr>
    </w:p>
    <w:p w14:paraId="3F1EFB6F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lang w:val="it-IT"/>
        </w:rPr>
      </w:pPr>
      <w:r w:rsidRPr="001D0D96">
        <w:rPr>
          <w:rFonts w:asciiTheme="majorHAnsi" w:hAnsiTheme="majorHAnsi"/>
          <w:b/>
          <w:bCs/>
          <w:sz w:val="20"/>
          <w:szCs w:val="20"/>
          <w:lang w:val="it-IT"/>
        </w:rPr>
        <w:t>La Civiltà Umanistico-Rinascimentale del Quattrocento.</w:t>
      </w:r>
    </w:p>
    <w:p w14:paraId="22A098CF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Il contesto, la visione del mondo, la centralità dell’uomo.</w:t>
      </w:r>
    </w:p>
    <w:p w14:paraId="0612FB9E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 xml:space="preserve">Leonardo da Vinci. Testi: ” La farfalla e la candela; “Il foglio e l’inchiostro” (reperibile online). </w:t>
      </w:r>
    </w:p>
    <w:p w14:paraId="214B9BA4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 xml:space="preserve">Il Rinascimento e i suoi temi </w:t>
      </w:r>
    </w:p>
    <w:p w14:paraId="6C9EA1BE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Il contesto, la visione del mondo.</w:t>
      </w:r>
    </w:p>
    <w:p w14:paraId="1CAFD496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Erasmo da Rotterdam. Testo: “Il vero senno è pazzia.”</w:t>
      </w:r>
    </w:p>
    <w:p w14:paraId="207B3AF6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lang w:val="it-IT"/>
        </w:rPr>
      </w:pPr>
      <w:r w:rsidRPr="001D0D96">
        <w:rPr>
          <w:rFonts w:asciiTheme="majorHAnsi" w:hAnsiTheme="majorHAnsi"/>
          <w:b/>
          <w:bCs/>
          <w:sz w:val="20"/>
          <w:szCs w:val="20"/>
          <w:lang w:val="it-IT"/>
        </w:rPr>
        <w:t>L’uomo nuovo tra politica e utopia.</w:t>
      </w:r>
    </w:p>
    <w:p w14:paraId="3291B93F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Niccolò Machiavelli. La vita e l’opera.</w:t>
      </w:r>
    </w:p>
    <w:p w14:paraId="1B7C837A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La visione del mondo: una moderna “scienza della politica”; la concezione dell’uomo e della storia.</w:t>
      </w:r>
    </w:p>
    <w:p w14:paraId="12CC8DC7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Il Principe: struttura e genesi dell’opera.</w:t>
      </w:r>
    </w:p>
    <w:p w14:paraId="4C67D672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Testi: “I comportamenti adatti al principe”; “Morale e politica”, “Il ruolo della fortuna”.</w:t>
      </w:r>
    </w:p>
    <w:p w14:paraId="469AB45F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La Mandragola: la trama e i caratteri generali</w:t>
      </w:r>
    </w:p>
    <w:p w14:paraId="38067C00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Francesco Guicciardini. La vita e l’opera</w:t>
      </w:r>
    </w:p>
    <w:p w14:paraId="6BCFDD85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Testi: “Incertezza dell’agire umano e complessità del reale”; “Le categorie dell’agire umano”.</w:t>
      </w:r>
    </w:p>
    <w:p w14:paraId="20722922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 xml:space="preserve">Ariosto e il romanzo cavalleresco </w:t>
      </w:r>
    </w:p>
    <w:p w14:paraId="56A0D3E5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Il Morgante di Luigi Pulci</w:t>
      </w:r>
    </w:p>
    <w:p w14:paraId="72EDCA29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Testo: “Esordio del poema ed entrata in scena di Morgante”; “</w:t>
      </w:r>
      <w:proofErr w:type="spellStart"/>
      <w:r w:rsidRPr="001D0D96">
        <w:rPr>
          <w:rFonts w:asciiTheme="majorHAnsi" w:hAnsiTheme="majorHAnsi"/>
          <w:sz w:val="20"/>
          <w:szCs w:val="20"/>
          <w:lang w:val="it-IT"/>
        </w:rPr>
        <w:t>Margutte</w:t>
      </w:r>
      <w:proofErr w:type="spellEnd"/>
      <w:r w:rsidRPr="001D0D96">
        <w:rPr>
          <w:rFonts w:asciiTheme="majorHAnsi" w:hAnsiTheme="majorHAnsi"/>
          <w:sz w:val="20"/>
          <w:szCs w:val="20"/>
          <w:lang w:val="it-IT"/>
        </w:rPr>
        <w:t xml:space="preserve"> si presenta”.</w:t>
      </w:r>
    </w:p>
    <w:p w14:paraId="27717C29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L’Orlando Innamorato di Matteo Maria Boiardo.</w:t>
      </w:r>
    </w:p>
    <w:p w14:paraId="47B4EEB6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Testo: “Le fonti dell’amore e del disamore”.</w:t>
      </w:r>
    </w:p>
    <w:p w14:paraId="03369057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Ludovico Ariosto. La vita e l’opera.</w:t>
      </w:r>
    </w:p>
    <w:p w14:paraId="5F4C1360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La visione del mondo.</w:t>
      </w:r>
    </w:p>
    <w:p w14:paraId="04902572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L’Orlando Furioso: un “classico moderno”.</w:t>
      </w:r>
    </w:p>
    <w:p w14:paraId="28F9292F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Tempo e spazio nel Furioso: il poema del movimento.</w:t>
      </w:r>
    </w:p>
    <w:p w14:paraId="79ADAE56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Temi e innovazioni del Furioso.</w:t>
      </w:r>
    </w:p>
    <w:p w14:paraId="17061746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La lingua e lo stile.</w:t>
      </w:r>
    </w:p>
    <w:p w14:paraId="5FB79FFC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Testi: “Le donne, i cavalier, le armi, gli amori”; “In principio c’è solo una ragazza che fugge”; “Il sogno di Orlando”; “Il castello incantato”; “La follia di Orlando”, “Astolfo sulla luna”.</w:t>
      </w:r>
    </w:p>
    <w:p w14:paraId="2281724C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lang w:val="it-IT"/>
        </w:rPr>
      </w:pPr>
      <w:r w:rsidRPr="001D0D96">
        <w:rPr>
          <w:rFonts w:asciiTheme="majorHAnsi" w:hAnsiTheme="majorHAnsi"/>
          <w:b/>
          <w:bCs/>
          <w:sz w:val="20"/>
          <w:szCs w:val="20"/>
          <w:lang w:val="it-IT"/>
        </w:rPr>
        <w:t>L’Autunno del Rinascimento: Controriforma e Manierismo.</w:t>
      </w:r>
    </w:p>
    <w:p w14:paraId="5B0A88BA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Il contesto; la visione del mondo.</w:t>
      </w:r>
    </w:p>
    <w:p w14:paraId="3E2C2D79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Torquato Tasso. La vita e l’opera; la visione del mondo.</w:t>
      </w:r>
    </w:p>
    <w:p w14:paraId="3FD955FF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lang w:val="it-IT"/>
        </w:rPr>
      </w:pPr>
    </w:p>
    <w:p w14:paraId="0FC4E5B7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lang w:val="it-IT"/>
        </w:rPr>
      </w:pPr>
      <w:r w:rsidRPr="001D0D96">
        <w:rPr>
          <w:rFonts w:asciiTheme="majorHAnsi" w:hAnsiTheme="majorHAnsi"/>
          <w:b/>
          <w:bCs/>
          <w:sz w:val="20"/>
          <w:szCs w:val="20"/>
          <w:lang w:val="it-IT"/>
        </w:rPr>
        <w:t xml:space="preserve">Volume 2 A </w:t>
      </w:r>
    </w:p>
    <w:p w14:paraId="0FAD5B4D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b/>
          <w:bCs/>
          <w:sz w:val="20"/>
          <w:szCs w:val="20"/>
          <w:lang w:val="it-IT"/>
        </w:rPr>
        <w:t>L’Universo Barocco.</w:t>
      </w:r>
      <w:r w:rsidRPr="001D0D96">
        <w:rPr>
          <w:rFonts w:asciiTheme="majorHAnsi" w:hAnsiTheme="majorHAnsi"/>
          <w:sz w:val="20"/>
          <w:szCs w:val="20"/>
          <w:lang w:val="it-IT"/>
        </w:rPr>
        <w:t xml:space="preserve"> Il contesto; la visione del mondo</w:t>
      </w:r>
    </w:p>
    <w:p w14:paraId="089446D5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Blaise Pascal. Testo: “L’uomo tra due abissi”</w:t>
      </w:r>
    </w:p>
    <w:p w14:paraId="3B6E1326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Ungaretti. L’uomo e l’abisso</w:t>
      </w:r>
      <w:r w:rsidRPr="001D0D96">
        <w:rPr>
          <w:rFonts w:asciiTheme="majorHAnsi" w:hAnsiTheme="majorHAnsi"/>
          <w:i/>
          <w:iCs/>
          <w:sz w:val="20"/>
          <w:szCs w:val="20"/>
          <w:lang w:val="it-IT"/>
        </w:rPr>
        <w:t>: “L’allegria e Note a Sentimento del tempo”.</w:t>
      </w:r>
    </w:p>
    <w:p w14:paraId="08E1745F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La cultura barocca.</w:t>
      </w:r>
    </w:p>
    <w:p w14:paraId="4C3A12A3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Caravaggio: la precarietà dell’esistenza.</w:t>
      </w:r>
    </w:p>
    <w:p w14:paraId="6AE9E4E8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Galileo Galilei. La vita e l’opera, la visione del mondo.</w:t>
      </w:r>
    </w:p>
    <w:p w14:paraId="29FF957D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lang w:val="it-IT"/>
        </w:rPr>
      </w:pPr>
      <w:r w:rsidRPr="001D0D96">
        <w:rPr>
          <w:rFonts w:asciiTheme="majorHAnsi" w:hAnsiTheme="majorHAnsi"/>
          <w:b/>
          <w:bCs/>
          <w:sz w:val="20"/>
          <w:szCs w:val="20"/>
          <w:lang w:val="it-IT"/>
        </w:rPr>
        <w:t xml:space="preserve">Dalla crisi della coscienza europea all’ “Età dei Lumi” </w:t>
      </w:r>
    </w:p>
    <w:p w14:paraId="4D16A3F7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L’illuminismo: il contesto; la visione del mondo.</w:t>
      </w:r>
    </w:p>
    <w:p w14:paraId="789D2679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b/>
          <w:bCs/>
          <w:sz w:val="20"/>
          <w:szCs w:val="20"/>
          <w:lang w:val="it-IT"/>
        </w:rPr>
        <w:t>Modelli culturali tra Seicento e Settecento:</w:t>
      </w:r>
      <w:r w:rsidRPr="001D0D96">
        <w:rPr>
          <w:rFonts w:asciiTheme="majorHAnsi" w:hAnsiTheme="majorHAnsi"/>
          <w:sz w:val="20"/>
          <w:szCs w:val="20"/>
          <w:lang w:val="it-IT"/>
        </w:rPr>
        <w:t xml:space="preserve"> un nuovo ruolo per gli intellettuali; formazione e circolazione delle idee, i caffè e la formazione dell’opinione pubblica.</w:t>
      </w:r>
    </w:p>
    <w:p w14:paraId="3FD9F7CD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i/>
          <w:iCs/>
          <w:sz w:val="20"/>
          <w:szCs w:val="20"/>
          <w:lang w:val="it-IT"/>
        </w:rPr>
      </w:pPr>
      <w:proofErr w:type="spellStart"/>
      <w:r w:rsidRPr="001D0D96">
        <w:rPr>
          <w:rFonts w:asciiTheme="majorHAnsi" w:hAnsiTheme="majorHAnsi"/>
          <w:sz w:val="20"/>
          <w:szCs w:val="20"/>
          <w:lang w:val="it-IT"/>
        </w:rPr>
        <w:t>Ch</w:t>
      </w:r>
      <w:proofErr w:type="spellEnd"/>
      <w:r w:rsidRPr="001D0D96">
        <w:rPr>
          <w:rFonts w:asciiTheme="majorHAnsi" w:hAnsiTheme="majorHAnsi"/>
          <w:sz w:val="20"/>
          <w:szCs w:val="20"/>
          <w:lang w:val="it-IT"/>
        </w:rPr>
        <w:t xml:space="preserve">. W. Mills , Pubblico e massa, </w:t>
      </w:r>
      <w:r w:rsidRPr="001D0D96">
        <w:rPr>
          <w:rFonts w:asciiTheme="majorHAnsi" w:hAnsiTheme="majorHAnsi"/>
          <w:i/>
          <w:iCs/>
          <w:sz w:val="20"/>
          <w:szCs w:val="20"/>
          <w:lang w:val="it-IT"/>
        </w:rPr>
        <w:t>“L’élite del potere”</w:t>
      </w:r>
      <w:r w:rsidRPr="001D0D96">
        <w:rPr>
          <w:rFonts w:asciiTheme="majorHAnsi" w:hAnsiTheme="majorHAnsi"/>
          <w:sz w:val="20"/>
          <w:szCs w:val="20"/>
          <w:lang w:val="it-IT"/>
        </w:rPr>
        <w:t xml:space="preserve">; G. D’Avanzo , Il giornalismo tra inchiesta e chiacchiera, </w:t>
      </w:r>
      <w:r w:rsidRPr="001D0D96">
        <w:rPr>
          <w:rFonts w:asciiTheme="majorHAnsi" w:hAnsiTheme="majorHAnsi"/>
          <w:i/>
          <w:iCs/>
          <w:sz w:val="20"/>
          <w:szCs w:val="20"/>
          <w:lang w:val="it-IT"/>
        </w:rPr>
        <w:t>“Il giornalismo della maldicenza”.</w:t>
      </w:r>
    </w:p>
    <w:p w14:paraId="28045974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b/>
          <w:bCs/>
          <w:sz w:val="20"/>
          <w:szCs w:val="20"/>
          <w:lang w:val="it-IT"/>
        </w:rPr>
        <w:t>Temi della cultura illuministica:</w:t>
      </w:r>
      <w:r w:rsidRPr="001D0D96">
        <w:rPr>
          <w:rFonts w:asciiTheme="majorHAnsi" w:hAnsiTheme="majorHAnsi"/>
          <w:sz w:val="20"/>
          <w:szCs w:val="20"/>
          <w:lang w:val="it-IT"/>
        </w:rPr>
        <w:t xml:space="preserve"> il dibattito politico; il dibattito religioso; natura e cultura.</w:t>
      </w:r>
    </w:p>
    <w:p w14:paraId="49E872C9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Il Grande Settecento Italiano</w:t>
      </w:r>
    </w:p>
    <w:p w14:paraId="758852F9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Carlo Goldoni. La vita e l’opera, la visione del mondo.</w:t>
      </w:r>
    </w:p>
    <w:p w14:paraId="09E3FF04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La Locandiera. Testi: “L’inizio della commedia”; “Il cavaliere misogino”</w:t>
      </w:r>
    </w:p>
    <w:p w14:paraId="0ABAE6F1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</w:p>
    <w:p w14:paraId="3F3A5EA7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b/>
          <w:bCs/>
          <w:sz w:val="20"/>
          <w:szCs w:val="20"/>
          <w:lang w:val="it-IT"/>
        </w:rPr>
        <w:lastRenderedPageBreak/>
        <w:t>Divina Commedia</w:t>
      </w:r>
      <w:r w:rsidRPr="001D0D96">
        <w:rPr>
          <w:rFonts w:asciiTheme="majorHAnsi" w:hAnsiTheme="majorHAnsi"/>
          <w:sz w:val="20"/>
          <w:szCs w:val="20"/>
          <w:lang w:val="it-IT"/>
        </w:rPr>
        <w:t>: Purgatorio: canti 1, 2,3,4, 5,6.</w:t>
      </w:r>
    </w:p>
    <w:p w14:paraId="3D4E01DD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</w:p>
    <w:p w14:paraId="74AA42EA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b/>
          <w:bCs/>
          <w:sz w:val="20"/>
          <w:szCs w:val="20"/>
          <w:lang w:val="it-IT"/>
        </w:rPr>
        <w:t>Percorso su Ulisse</w:t>
      </w:r>
      <w:r w:rsidRPr="001D0D96">
        <w:rPr>
          <w:rFonts w:asciiTheme="majorHAnsi" w:hAnsiTheme="majorHAnsi"/>
          <w:sz w:val="20"/>
          <w:szCs w:val="20"/>
          <w:lang w:val="it-IT"/>
        </w:rPr>
        <w:t>. Lettura e analisi del canto XXVI dell’Inferno ; il canto di Ulisse di Primo Levi;  poesia “Ulisse” di Umberto Saba;  Ulisse e Calipso da Dialoghi con Leucò di Pavese.</w:t>
      </w:r>
    </w:p>
    <w:p w14:paraId="42D5FDB9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</w:p>
    <w:p w14:paraId="26737FA5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lang w:val="it-IT"/>
        </w:rPr>
      </w:pPr>
    </w:p>
    <w:p w14:paraId="37F4A3D3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b/>
          <w:bCs/>
          <w:sz w:val="20"/>
          <w:szCs w:val="20"/>
          <w:lang w:val="it-IT"/>
        </w:rPr>
        <w:t>Percorso di Orientamento Aggiuntivo: La Follia dall’antichità ad oggi</w:t>
      </w:r>
      <w:r w:rsidRPr="001D0D96">
        <w:rPr>
          <w:rFonts w:asciiTheme="majorHAnsi" w:hAnsiTheme="majorHAnsi"/>
          <w:sz w:val="20"/>
          <w:szCs w:val="20"/>
          <w:lang w:val="it-IT"/>
        </w:rPr>
        <w:t xml:space="preserve">. </w:t>
      </w:r>
    </w:p>
    <w:p w14:paraId="3F3DA90C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Discipline coinvolte Italiano e Filosofia.</w:t>
      </w:r>
    </w:p>
    <w:p w14:paraId="3B8B1191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Sono stati trattate le posizioni dei seguenti autori</w:t>
      </w:r>
    </w:p>
    <w:p w14:paraId="612DCA34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Aristotele, Platone, Marsilio Ficino, Erasmo da Rotterdam, Hieronymus Bosh, Ludovico Ariosto, Cesare Lombroso, Franco Basaglia. Gli alunni hanno lavorato in gruppo sui seguenti autori:</w:t>
      </w:r>
    </w:p>
    <w:p w14:paraId="34B327A0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Tasso, Van Gogh, Munch, Nietzsche, Otto Dix, John Nash, Theodore Kaczynski, Pirandello, Schumann.</w:t>
      </w:r>
    </w:p>
    <w:p w14:paraId="5803ECD5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 xml:space="preserve">Il percorso si è concluso con la visione del film </w:t>
      </w:r>
      <w:proofErr w:type="spellStart"/>
      <w:r w:rsidRPr="001D0D96">
        <w:rPr>
          <w:rFonts w:asciiTheme="majorHAnsi" w:hAnsiTheme="majorHAnsi"/>
          <w:sz w:val="20"/>
          <w:szCs w:val="20"/>
          <w:lang w:val="it-IT"/>
        </w:rPr>
        <w:t>Shining</w:t>
      </w:r>
      <w:proofErr w:type="spellEnd"/>
      <w:r w:rsidRPr="001D0D96">
        <w:rPr>
          <w:rFonts w:asciiTheme="majorHAnsi" w:hAnsiTheme="majorHAnsi"/>
          <w:sz w:val="20"/>
          <w:szCs w:val="20"/>
          <w:lang w:val="it-IT"/>
        </w:rPr>
        <w:t>.</w:t>
      </w:r>
    </w:p>
    <w:p w14:paraId="29A17AB3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</w:p>
    <w:p w14:paraId="32ECFE45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Durante l’anno sono state somministrate prove di scrittura documentata, tipologia B dell’Esame di Stato.</w:t>
      </w:r>
    </w:p>
    <w:p w14:paraId="48E35D5B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</w:p>
    <w:p w14:paraId="5581400D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</w:p>
    <w:p w14:paraId="5A832450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</w:p>
    <w:p w14:paraId="7414F8FC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</w:p>
    <w:p w14:paraId="63A0D946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</w:p>
    <w:p w14:paraId="2CBC4AD7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</w:p>
    <w:p w14:paraId="4E8FEFF9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Roma, 03/06/24</w:t>
      </w:r>
    </w:p>
    <w:p w14:paraId="02F60372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</w:p>
    <w:p w14:paraId="32EED3AD" w14:textId="77777777" w:rsidR="00FD4564" w:rsidRPr="001D0D96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</w:p>
    <w:p w14:paraId="0F3B7496" w14:textId="77777777" w:rsidR="00FD4564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  <w:r w:rsidRPr="001D0D96">
        <w:rPr>
          <w:rFonts w:asciiTheme="majorHAnsi" w:hAnsiTheme="majorHAnsi"/>
          <w:sz w:val="20"/>
          <w:szCs w:val="20"/>
          <w:lang w:val="it-IT"/>
        </w:rPr>
        <w:t>Gli alunni</w:t>
      </w:r>
      <w:r w:rsidRPr="001D0D96">
        <w:rPr>
          <w:rFonts w:asciiTheme="majorHAnsi" w:hAnsiTheme="majorHAnsi"/>
          <w:sz w:val="20"/>
          <w:szCs w:val="20"/>
          <w:lang w:val="it-IT"/>
        </w:rPr>
        <w:tab/>
      </w:r>
      <w:r w:rsidRPr="001D0D96">
        <w:rPr>
          <w:rFonts w:asciiTheme="majorHAnsi" w:hAnsiTheme="majorHAnsi"/>
          <w:sz w:val="20"/>
          <w:szCs w:val="20"/>
          <w:lang w:val="it-IT"/>
        </w:rPr>
        <w:tab/>
      </w:r>
      <w:r w:rsidRPr="001D0D96">
        <w:rPr>
          <w:rFonts w:asciiTheme="majorHAnsi" w:hAnsiTheme="majorHAnsi"/>
          <w:sz w:val="20"/>
          <w:szCs w:val="20"/>
          <w:lang w:val="it-IT"/>
        </w:rPr>
        <w:tab/>
      </w:r>
      <w:r w:rsidRPr="001D0D96">
        <w:rPr>
          <w:rFonts w:asciiTheme="majorHAnsi" w:hAnsiTheme="majorHAnsi"/>
          <w:sz w:val="20"/>
          <w:szCs w:val="20"/>
          <w:lang w:val="it-IT"/>
        </w:rPr>
        <w:tab/>
      </w:r>
      <w:r w:rsidRPr="001D0D96">
        <w:rPr>
          <w:rFonts w:asciiTheme="majorHAnsi" w:hAnsiTheme="majorHAnsi"/>
          <w:sz w:val="20"/>
          <w:szCs w:val="20"/>
          <w:lang w:val="it-IT"/>
        </w:rPr>
        <w:tab/>
      </w:r>
      <w:r w:rsidRPr="001D0D96">
        <w:rPr>
          <w:rFonts w:asciiTheme="majorHAnsi" w:hAnsiTheme="majorHAnsi"/>
          <w:sz w:val="20"/>
          <w:szCs w:val="20"/>
          <w:lang w:val="it-IT"/>
        </w:rPr>
        <w:tab/>
      </w:r>
      <w:r w:rsidRPr="001D0D96">
        <w:rPr>
          <w:rFonts w:asciiTheme="majorHAnsi" w:hAnsiTheme="majorHAnsi"/>
          <w:sz w:val="20"/>
          <w:szCs w:val="20"/>
          <w:lang w:val="it-IT"/>
        </w:rPr>
        <w:tab/>
      </w:r>
      <w:r w:rsidRPr="001D0D96">
        <w:rPr>
          <w:rFonts w:asciiTheme="majorHAnsi" w:hAnsiTheme="majorHAnsi"/>
          <w:sz w:val="20"/>
          <w:szCs w:val="20"/>
          <w:lang w:val="it-IT"/>
        </w:rPr>
        <w:tab/>
      </w:r>
      <w:r w:rsidRPr="001D0D96">
        <w:rPr>
          <w:rFonts w:asciiTheme="majorHAnsi" w:hAnsiTheme="majorHAnsi"/>
          <w:sz w:val="20"/>
          <w:szCs w:val="20"/>
          <w:lang w:val="it-IT"/>
        </w:rPr>
        <w:tab/>
      </w:r>
      <w:r w:rsidRPr="001D0D96">
        <w:rPr>
          <w:rFonts w:asciiTheme="majorHAnsi" w:hAnsiTheme="majorHAnsi"/>
          <w:sz w:val="20"/>
          <w:szCs w:val="20"/>
          <w:lang w:val="it-IT"/>
        </w:rPr>
        <w:tab/>
        <w:t>l’insegnante</w:t>
      </w:r>
    </w:p>
    <w:p w14:paraId="76F455B6" w14:textId="77777777" w:rsidR="00FD4564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</w:p>
    <w:p w14:paraId="1689224D" w14:textId="77777777" w:rsidR="00FD4564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</w:p>
    <w:p w14:paraId="25F5AF21" w14:textId="77777777" w:rsidR="00FD4564" w:rsidRDefault="00FD4564" w:rsidP="00FD4564">
      <w:pPr>
        <w:spacing w:after="0" w:line="240" w:lineRule="auto"/>
        <w:rPr>
          <w:rFonts w:asciiTheme="majorHAnsi" w:hAnsiTheme="majorHAnsi"/>
          <w:sz w:val="20"/>
          <w:szCs w:val="20"/>
          <w:lang w:val="it-IT"/>
        </w:rPr>
      </w:pPr>
    </w:p>
    <w:p w14:paraId="0BE2F20C" w14:textId="77777777" w:rsidR="00B76DC8" w:rsidRDefault="00B76DC8"/>
    <w:sectPr w:rsidR="00B76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3F"/>
    <w:rsid w:val="006C043F"/>
    <w:rsid w:val="00B76DC8"/>
    <w:rsid w:val="00D441DC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640A"/>
  <w15:chartTrackingRefBased/>
  <w15:docId w15:val="{120BD539-ADD3-41C1-A9AB-852E51F4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564"/>
    <w:rPr>
      <w:lang w:val="el-G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04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04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04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04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04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04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04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04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04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043F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l-G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043F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l-G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043F"/>
    <w:rPr>
      <w:rFonts w:eastAsiaTheme="majorEastAsia" w:cstheme="majorBidi"/>
      <w:color w:val="0F4761" w:themeColor="accent1" w:themeShade="BF"/>
      <w:sz w:val="28"/>
      <w:szCs w:val="28"/>
      <w:lang w:val="el-G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043F"/>
    <w:rPr>
      <w:rFonts w:eastAsiaTheme="majorEastAsia" w:cstheme="majorBidi"/>
      <w:i/>
      <w:iCs/>
      <w:color w:val="0F4761" w:themeColor="accent1" w:themeShade="BF"/>
      <w:lang w:val="el-G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043F"/>
    <w:rPr>
      <w:rFonts w:eastAsiaTheme="majorEastAsia" w:cstheme="majorBidi"/>
      <w:color w:val="0F4761" w:themeColor="accent1" w:themeShade="BF"/>
      <w:lang w:val="el-G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043F"/>
    <w:rPr>
      <w:rFonts w:eastAsiaTheme="majorEastAsia" w:cstheme="majorBidi"/>
      <w:i/>
      <w:iCs/>
      <w:color w:val="595959" w:themeColor="text1" w:themeTint="A6"/>
      <w:lang w:val="el-G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043F"/>
    <w:rPr>
      <w:rFonts w:eastAsiaTheme="majorEastAsia" w:cstheme="majorBidi"/>
      <w:color w:val="595959" w:themeColor="text1" w:themeTint="A6"/>
      <w:lang w:val="el-G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043F"/>
    <w:rPr>
      <w:rFonts w:eastAsiaTheme="majorEastAsia" w:cstheme="majorBidi"/>
      <w:i/>
      <w:iCs/>
      <w:color w:val="272727" w:themeColor="text1" w:themeTint="D8"/>
      <w:lang w:val="el-G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043F"/>
    <w:rPr>
      <w:rFonts w:eastAsiaTheme="majorEastAsia" w:cstheme="majorBidi"/>
      <w:color w:val="272727" w:themeColor="text1" w:themeTint="D8"/>
      <w:lang w:val="el-GR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04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C043F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04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043F"/>
    <w:rPr>
      <w:rFonts w:eastAsiaTheme="majorEastAsia" w:cstheme="majorBidi"/>
      <w:color w:val="595959" w:themeColor="text1" w:themeTint="A6"/>
      <w:spacing w:val="15"/>
      <w:sz w:val="28"/>
      <w:szCs w:val="28"/>
      <w:lang w:val="el-G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C04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C043F"/>
    <w:rPr>
      <w:i/>
      <w:iCs/>
      <w:color w:val="404040" w:themeColor="text1" w:themeTint="BF"/>
      <w:lang w:val="el-GR"/>
    </w:rPr>
  </w:style>
  <w:style w:type="paragraph" w:styleId="Paragrafoelenco">
    <w:name w:val="List Paragraph"/>
    <w:basedOn w:val="Normale"/>
    <w:uiPriority w:val="34"/>
    <w:qFormat/>
    <w:rsid w:val="006C043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C043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04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C043F"/>
    <w:rPr>
      <w:i/>
      <w:iCs/>
      <w:color w:val="0F4761" w:themeColor="accent1" w:themeShade="BF"/>
      <w:lang w:val="el-GR"/>
    </w:rPr>
  </w:style>
  <w:style w:type="character" w:styleId="Riferimentointenso">
    <w:name w:val="Intense Reference"/>
    <w:basedOn w:val="Carpredefinitoparagrafo"/>
    <w:uiPriority w:val="32"/>
    <w:qFormat/>
    <w:rsid w:val="006C04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Andronico</dc:creator>
  <cp:keywords/>
  <dc:description/>
  <cp:lastModifiedBy>Lorenzo Andronico</cp:lastModifiedBy>
  <cp:revision>2</cp:revision>
  <dcterms:created xsi:type="dcterms:W3CDTF">2024-06-17T13:49:00Z</dcterms:created>
  <dcterms:modified xsi:type="dcterms:W3CDTF">2024-06-17T13:49:00Z</dcterms:modified>
</cp:coreProperties>
</file>