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2651E" w:rsidRDefault="00000000">
      <w:pPr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Liceo Scientifico “Morgagni”</w:t>
      </w:r>
    </w:p>
    <w:p w14:paraId="00000002" w14:textId="77777777" w:rsidR="00B2651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2022/2023</w:t>
      </w:r>
    </w:p>
    <w:p w14:paraId="00000003" w14:textId="77777777" w:rsidR="00B2651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Insegnamento Religione Cattolica</w:t>
      </w:r>
    </w:p>
    <w:p w14:paraId="00000004" w14:textId="77777777" w:rsidR="00B2651E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Forti Paolo</w:t>
      </w:r>
    </w:p>
    <w:p w14:paraId="00000005" w14:textId="77777777" w:rsidR="00B2651E" w:rsidRDefault="00000000">
      <w:pPr>
        <w:rPr>
          <w:b/>
        </w:rPr>
      </w:pPr>
      <w:bookmarkStart w:id="1" w:name="_heading=h.30j0zll" w:colFirst="0" w:colLast="0"/>
      <w:bookmarkEnd w:id="1"/>
      <w:r>
        <w:rPr>
          <w:b/>
        </w:rPr>
        <w:t xml:space="preserve">Classe 3H </w:t>
      </w:r>
    </w:p>
    <w:p w14:paraId="00000006" w14:textId="77777777" w:rsidR="00B2651E" w:rsidRDefault="00000000">
      <w:pPr>
        <w:rPr>
          <w:b/>
        </w:rPr>
      </w:pPr>
      <w:bookmarkStart w:id="2" w:name="_heading=h.1fob9te" w:colFirst="0" w:colLast="0"/>
      <w:bookmarkEnd w:id="2"/>
      <w:r>
        <w:rPr>
          <w:b/>
        </w:rPr>
        <w:t>Primo quadrimestre</w:t>
      </w:r>
    </w:p>
    <w:p w14:paraId="00000007" w14:textId="77777777" w:rsidR="00B2651E" w:rsidRDefault="00000000">
      <w:r>
        <w:t>La Chiesa: istituzione sociale umana, religiosa e divina (corpo di Cristo): la Chiesa nel mondo, nella sua organizzazione gerarchica (carismi e ministeri con particolare riferimento alla successione apostolica) e nella sua missione.</w:t>
      </w:r>
    </w:p>
    <w:p w14:paraId="00000008" w14:textId="77777777" w:rsidR="00B2651E" w:rsidRDefault="00000000">
      <w:r>
        <w:t>Il senso del tempo, della storia e della nostra esistenza: uno sguardo alle religioni orientali, coerentemente con la loro concezione di tempo (concezione ciclica), di uomo e di senso della vita</w:t>
      </w:r>
    </w:p>
    <w:p w14:paraId="00000009" w14:textId="77777777" w:rsidR="00B2651E" w:rsidRDefault="00000000">
      <w:r>
        <w:t>Il concetto di Amore tra eros, filia e agape: amore come dono.</w:t>
      </w:r>
    </w:p>
    <w:p w14:paraId="0000000A" w14:textId="77777777" w:rsidR="00B2651E" w:rsidRDefault="00000000">
      <w:r>
        <w:t>Il Medioevo: la coincidenza tra il Vero, il Giusto, il Bello e il Buono.</w:t>
      </w:r>
    </w:p>
    <w:p w14:paraId="0000000B" w14:textId="77777777" w:rsidR="00B2651E" w:rsidRDefault="00000000">
      <w:r>
        <w:t>La felicità, la pace e il senso dell’esistenza: l’uomo Dante e il percorso interiore verso il bene e la realizzazione dell’uomo.</w:t>
      </w:r>
    </w:p>
    <w:p w14:paraId="0000000C" w14:textId="77777777" w:rsidR="00B2651E" w:rsidRDefault="00000000">
      <w:r>
        <w:t>Differenza tra beatitudine e dannazione, tra felicità e infelicità nell’ottica di giustizia e misericordia: la crisi del pensiero di giustizia retributiva.</w:t>
      </w:r>
    </w:p>
    <w:p w14:paraId="0000000D" w14:textId="77777777" w:rsidR="00B2651E" w:rsidRDefault="00000000">
      <w:r>
        <w:t>L’Amore esperienza di salvezza e centro dell’esistenza umana: le coppie Dante e Beatrice, Paolo e Francesca.</w:t>
      </w:r>
    </w:p>
    <w:p w14:paraId="0000000E" w14:textId="77777777" w:rsidR="00B2651E" w:rsidRDefault="00000000">
      <w:r>
        <w:t>La bellezza: la realtà contemplativa dell’uomo e il senso estetico tra questione esistenziale e criterio sociale; la bellezza come soggettiva o oggettiva: una rilettura del concetto a partire dall’elaborazione filosofica di San Tommaso d’Aquino nelle categorie di “proportio”, “integritas” e “claritas”.</w:t>
      </w:r>
    </w:p>
    <w:p w14:paraId="0000000F" w14:textId="77777777" w:rsidR="00B2651E" w:rsidRDefault="00000000">
      <w:pPr>
        <w:rPr>
          <w:b/>
        </w:rPr>
      </w:pPr>
      <w:bookmarkStart w:id="3" w:name="_heading=h.3znysh7" w:colFirst="0" w:colLast="0"/>
      <w:bookmarkEnd w:id="3"/>
      <w:r>
        <w:rPr>
          <w:b/>
        </w:rPr>
        <w:t>Secondo quadrimestre</w:t>
      </w:r>
    </w:p>
    <w:p w14:paraId="00000010" w14:textId="77777777" w:rsidR="00B2651E" w:rsidRDefault="00000000">
      <w:r>
        <w:t>La Giustizia: l’esperienza umana tra errore, peccato e perdono.</w:t>
      </w:r>
    </w:p>
    <w:p w14:paraId="00000011" w14:textId="77777777" w:rsidR="00B2651E" w:rsidRDefault="00000000">
      <w:r>
        <w:t>La Pasqua: fondamento, centro e fine dell’esistenza cristiana.</w:t>
      </w:r>
    </w:p>
    <w:p w14:paraId="00000012" w14:textId="77777777" w:rsidR="00B2651E" w:rsidRDefault="00000000">
      <w:pPr>
        <w:jc w:val="both"/>
      </w:pPr>
      <w:r>
        <w:t xml:space="preserve">Dialogo fede-scienza: un confronto epistemologico, metodologico, di ricerca e senso. </w:t>
      </w:r>
    </w:p>
    <w:p w14:paraId="00000013" w14:textId="77777777" w:rsidR="00B2651E" w:rsidRDefault="00000000">
      <w:pPr>
        <w:jc w:val="both"/>
      </w:pPr>
      <w:r>
        <w:t>La questione salvifica nella visione cristiana: rapporto tra fede e opere e il difficile equilibrio di una formulazione che diede avvio al dibattito dottrinale apportato dalle Riforme.</w:t>
      </w:r>
    </w:p>
    <w:p w14:paraId="00000014" w14:textId="77777777" w:rsidR="00B2651E" w:rsidRDefault="00000000">
      <w:r>
        <w:t>La Riforma Protestante, Martin Lutero questione dottrinale, sacramentale e storica.</w:t>
      </w:r>
    </w:p>
    <w:p w14:paraId="00000015" w14:textId="77777777" w:rsidR="00B2651E" w:rsidRDefault="00000000">
      <w:r>
        <w:t>La Chiesa Protestante e la Chiesa Cattolica: confronto tra questioni storiche e dottrinali che portarono allo scisma.</w:t>
      </w:r>
    </w:p>
    <w:p w14:paraId="00000016" w14:textId="77777777" w:rsidR="00B2651E" w:rsidRDefault="00000000">
      <w:r>
        <w:t>La differenza dottrinale e sacramentale tra Chiesa Cattolica e Chiesa Protestante attraverso l’iconografia (Rupnik a confronto con Cranach): la questione sacramentale nella differenza cattolica, protestante e ortodossa con particolare interesse ai sacramenti dell’iniziazione (confronto attuato a partire dalla forma cattolica cogliendone il significato emergente nell’arte).</w:t>
      </w:r>
    </w:p>
    <w:p w14:paraId="00000018" w14:textId="77777777" w:rsidR="00B2651E" w:rsidRDefault="00B2651E"/>
    <w:sectPr w:rsidR="00B2651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1E"/>
    <w:rsid w:val="001C6BB7"/>
    <w:rsid w:val="00B2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BB711-D58D-492D-80CE-2356DA9D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uEkzPQ7dg5p3XDcUt39U/S+ljQ==">CgMxLjAyCGguZ2pkZ3hzMgloLjMwajB6bGwyCWguMWZvYjl0ZTIJaC4zem55c2g3OAByITF5cWpWUk1pVnVBMXJURVVLUk5JNW9iZTFjVUp2UWZsSg==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Forti</dc:creator>
  <cp:lastModifiedBy>Paolo Forti</cp:lastModifiedBy>
  <cp:revision>3</cp:revision>
  <dcterms:created xsi:type="dcterms:W3CDTF">2022-06-05T22:38:00Z</dcterms:created>
  <dcterms:modified xsi:type="dcterms:W3CDTF">2023-06-09T12:12:00Z</dcterms:modified>
</cp:coreProperties>
</file>