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Liceo Scientifico Statale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‘Morgagni’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Roma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PROGRAMMA DELLA CLASSE 2 H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A.S. 2021-22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Disciplina 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ITALIANO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: Prof.ssa Elisabetta Farroni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Testi in adozione: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G. Iannaccone, M. Novelli, L’emozione della Lettura, Epica - Poesia e teatro,  Giunti TVP.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M. Sensini, ConMetodo, A. Mondadori Scuola.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G. Iannaccone, M. Novelli, L’emozione di un classico: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I Promessi Spos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i. Percorsi di lettura.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accordo con gli obiettivi formativi e cognitivi, con i metodi e i mezzi, con gli strumenti e i criteri di valutazione stabiliti dal Dipartimento di Lettere di questo Istituto, il percorso didattico della classe 2H si è articolato attraverso lo svolgimento dei seguenti contenuti.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ANALISI DEL TESTO POETICO: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– genere: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Percorso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“La parola scavata”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poesia secondo i poeti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interviste ai poeti Giorgio Caproni, Giuseppe Ungaretti, Eugenio Montale (video)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alcune sequenze filmiche 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postino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rottura della tradizione poetica a partire dal Romanticismo: analisi del fenomeno. La poesia francese dei poeti maledetti e quella italiana degli Scapigliati.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origini della poesia e la Scuola siciliana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– metodi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“Acquisizione di tecniche di decodifica del testo poetico”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Piano del significante e piano del significato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Linguaggio denotativo e linguaggio connotativo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versificazione italiana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Tipi di rime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strofe e i componimenti metrici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figure retoriche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Proposte metodologiche di analisi del testo poetico</w:t>
      </w:r>
    </w:p>
    <w:p w:rsidR="00000000" w:rsidDel="00000000" w:rsidP="00000000" w:rsidRDefault="00000000" w:rsidRPr="00000000" w14:paraId="00000020">
      <w:pPr>
        <w:ind w:left="36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Testi: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Baudelaire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L’albatro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Palazzeschi, Chi sono?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G.Ungaretti, Veglia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G.Ungaretti,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Martino del Carso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G. Rodari,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Promemoria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De Luca,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Valore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G. Pascoli, X agosto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Pascoli,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Temporale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V. Magrelli,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Ecce video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P. Valduga,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cuore sanguina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G. Carducci,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san Martino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Montale,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Meriggiare pallido e assorto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I. di Morra,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Ecco ch’un’altra volta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F. de André,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guerra di Piero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F. Pessoa,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Autopsicografia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S. Quasimodo,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Alle fronde dei salici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Modulo- genere: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“L’epica classica”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di recupero Iliade e Odissea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attraverso la trattazione delle specificità del genere e dei contenuti fondanti dei due Poemi 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L’Eneide: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Contestualizzazione storico-letteraria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proemio, L I, vv. 1-33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cavallo di legno e l’ultima notte di Troia, Laocoonte, L. II, vv. 1-56, 199-267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fuga sofferta e un l’addio, L II, vv. 699-794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Didone innamorata, L. IV, vv. 1-89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partenza di Enea e una morte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teatrale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 IV, vv. 642-705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discesa agli Inferi, L VI, vv. 679-759; 788-807; 87-853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Eurialo e Niso, L. IX, vv. 314-449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TESTO TEATRALE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Modulo-genere/metodi: “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La specificità del testo teatrale come prodotto letterario destinato alla rappresentazione spettacolare”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teatro classico greco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tragedia e la commedia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unità aristoteliche e il valore catartico della tragedia 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commedia dell’arte e la riforma goldoniana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dramma moderno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Elementi strutturali del testo teatrale: a) divisione in scene ed atti; b) didascalie; c) tecniche di rappresentazione delle parole dei personaggi (dialoghi, battute, monologhi, a parte); d) il linguaggio performativo e l’uso dei deittici</w:t>
      </w:r>
    </w:p>
    <w:p w:rsidR="00000000" w:rsidDel="00000000" w:rsidP="00000000" w:rsidRDefault="00000000" w:rsidRPr="00000000" w14:paraId="00000048">
      <w:pPr>
        <w:ind w:left="36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color w:val="30303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color w:val="30303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Moliere, da 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2"/>
          <w:szCs w:val="22"/>
          <w:highlight w:val="white"/>
          <w:rtl w:val="0"/>
        </w:rPr>
        <w:t xml:space="preserve">L’avaro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, atto I, scena III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color w:val="30303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Pirandello, da 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2"/>
          <w:szCs w:val="22"/>
          <w:highlight w:val="white"/>
          <w:rtl w:val="0"/>
        </w:rPr>
        <w:t xml:space="preserve">Così è se vi pare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,  “Io sono colei che mi si crede!”  pag 452 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color w:val="30303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b w:val="1"/>
          <w:color w:val="30303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03030"/>
          <w:sz w:val="22"/>
          <w:szCs w:val="22"/>
          <w:highlight w:val="white"/>
          <w:rtl w:val="0"/>
        </w:rPr>
        <w:t xml:space="preserve">Esperienze dirette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566.9291338582675" w:hanging="566.9291338582675"/>
        <w:jc w:val="both"/>
        <w:rPr>
          <w:rFonts w:ascii="Arial" w:cs="Arial" w:eastAsia="Arial" w:hAnsi="Arial"/>
          <w:color w:val="30303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Visone della tragedia 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2"/>
          <w:szCs w:val="22"/>
          <w:highlight w:val="white"/>
          <w:rtl w:val="0"/>
        </w:rPr>
        <w:t xml:space="preserve">Antigone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 presso il Teatro Vittoria, a cura della compagnia plautina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566.9291338582675" w:hanging="566.9291338582675"/>
        <w:jc w:val="both"/>
        <w:rPr>
          <w:rFonts w:ascii="Arial" w:cs="Arial" w:eastAsia="Arial" w:hAnsi="Arial"/>
          <w:color w:val="30303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Visione dello spettacolo 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2"/>
          <w:szCs w:val="22"/>
          <w:highlight w:val="white"/>
          <w:rtl w:val="0"/>
        </w:rPr>
        <w:t xml:space="preserve">Terra mia-Ritagli di storia,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 presso il teatro Ghione, a cura dell’ Associazione Danzarmonia Academy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566.9291338582675" w:hanging="566.9291338582675"/>
        <w:jc w:val="both"/>
        <w:rPr>
          <w:rFonts w:ascii="Arial" w:cs="Arial" w:eastAsia="Arial" w:hAnsi="Arial"/>
          <w:color w:val="30303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sz w:val="22"/>
          <w:szCs w:val="22"/>
          <w:highlight w:val="white"/>
          <w:rtl w:val="0"/>
        </w:rPr>
        <w:t xml:space="preserve">Ve lo faccio vedere io ora il teatro; 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visita guidata performativa condotte da attori nei luoghi più significativi del Teatro Argentina.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ROMANZO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Modulo-genere: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“Il romanzo storico”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Modulo-opera: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“I Promessi Sposi”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Contestualizzazione e analisi testuale dei capitoli: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II, III, IV, (V-VI), VII, IX-X, XI, XII-XIII, XIV, (XV-XIX) XVII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XX-XXI), XXXI, (dal XXXI lettura autonoma dello studente).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Alcuni capitoli sono stati sintetizzati, altri letti in forma antologica anche con l’ausilio 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di alcune scene tratte dallo sceneggiato del 1989, disponibile su RaiPlay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 del romanzo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signore delle mosche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W. Golding</w:t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COMPETENZE TESTUALI. ANALISI E PRODUZIONE: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riassunto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L’esposizione / La relazione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scrittura documentata/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testo argomentativo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scheda di lettura di un romanzo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scheda di analisi di un testo poetico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 ORIGINI DELLA LETTERATURA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lingue romanze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letteratura cortese-cavalleresca: 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Chanson de Roland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morte di Orlando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lasse 170-175</w:t>
      </w:r>
    </w:p>
    <w:p w:rsidR="00000000" w:rsidDel="00000000" w:rsidP="00000000" w:rsidRDefault="00000000" w:rsidRPr="00000000" w14:paraId="00000066">
      <w:pPr>
        <w:ind w:lef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 C. de Troyes,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notte d’amore di Lancillotto e Ginevra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poesia trobadorica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Scuola Siciliana: G. da Lentini,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Amor è uno desio che ven da core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poesia religiosa di San Francesco,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Cantico delle creature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Gli alunni</w:t>
        <w:tab/>
        <w:tab/>
        <w:tab/>
        <w:tab/>
        <w:tab/>
        <w:tab/>
        <w:tab/>
        <w:tab/>
        <w:t xml:space="preserve">L’insegnante</w:t>
      </w:r>
    </w:p>
    <w:sectPr>
      <w:pgSz w:h="16838" w:w="11906" w:orient="portrait"/>
      <w:pgMar w:bottom="851" w:top="851" w:left="1560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­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­"/>
      <w:lvlJc w:val="left"/>
      <w:pPr>
        <w:ind w:left="1429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­"/>
      <w:lvlJc w:val="left"/>
      <w:pPr>
        <w:ind w:left="1429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C01D3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FC01D3"/>
    <w:pPr>
      <w:keepNext w:val="1"/>
      <w:jc w:val="both"/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qFormat w:val="1"/>
    <w:rsid w:val="00FC01D3"/>
    <w:pPr>
      <w:keepNext w:val="1"/>
      <w:jc w:val="both"/>
      <w:outlineLvl w:val="1"/>
    </w:pPr>
    <w:rPr>
      <w:b w:val="1"/>
      <w:bCs w:val="1"/>
      <w:u w:val="single"/>
    </w:rPr>
  </w:style>
  <w:style w:type="paragraph" w:styleId="Titolo3">
    <w:name w:val="heading 3"/>
    <w:basedOn w:val="Normale"/>
    <w:next w:val="Normale"/>
    <w:qFormat w:val="1"/>
    <w:rsid w:val="00FC01D3"/>
    <w:pPr>
      <w:keepNext w:val="1"/>
      <w:outlineLvl w:val="2"/>
    </w:pPr>
    <w:rPr>
      <w:b w:val="1"/>
      <w:bCs w:val="1"/>
      <w:u w:val="single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rsid w:val="00FC01D3"/>
    <w:pPr>
      <w:jc w:val="both"/>
    </w:pPr>
  </w:style>
  <w:style w:type="paragraph" w:styleId="Corpodeltesto2">
    <w:name w:val="Body Text 2"/>
    <w:basedOn w:val="Normale"/>
    <w:rsid w:val="00FC01D3"/>
    <w:pPr>
      <w:jc w:val="both"/>
    </w:pPr>
    <w:rPr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F248B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jLkY0TBZ9pkbSApVHdJGxQN7Q==">AMUW2mUQbJqpoQ8lzOUFgvpnNdK5hQkOS4zeIO2935anZGXRhElQ3wdZaVrYxJ9579QlxoOPBCvwA98A4Uuk6QMiJ72QaiqBaAC/WSsDMkWkogoRQ7WCfS8=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2020-06-01T18:35:00Z</dcterms:created>
  <dc:creator>Piras</dc:creator>
</cp:coreProperties>
</file>