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3E7A7B9" w:rsidR="006928A7" w:rsidRDefault="00C3107C">
      <w:pPr>
        <w:shd w:val="clear" w:color="auto" w:fill="FFFFFF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Programma filosofia quinto</w:t>
      </w:r>
    </w:p>
    <w:p w14:paraId="391A12E3" w14:textId="77777777" w:rsidR="00D42D44" w:rsidRDefault="00D42D44">
      <w:pPr>
        <w:shd w:val="clear" w:color="auto" w:fill="FFFFFF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7B73AEA3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>IL CRITICISMO KANTIANO</w:t>
      </w:r>
    </w:p>
    <w:p w14:paraId="1FFF93C2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>Kant</w:t>
      </w:r>
    </w:p>
    <w:p w14:paraId="2AD44CB9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Vita e opere </w:t>
      </w:r>
    </w:p>
    <w:p w14:paraId="2D90277B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>∙ La Critica della ragion pura: i limiti della conoscenza umana, fenomeno e noumeno, i giudizi, la rivoluzione copernicana, l’</w:t>
      </w:r>
      <w:proofErr w:type="spellStart"/>
      <w:r w:rsidRPr="00D42D44">
        <w:rPr>
          <w:rFonts w:ascii="Arial" w:eastAsia="Arial" w:hAnsi="Arial" w:cs="Arial"/>
          <w:color w:val="000000"/>
          <w:sz w:val="22"/>
          <w:szCs w:val="22"/>
        </w:rPr>
        <w:t>Estestica</w:t>
      </w:r>
      <w:proofErr w:type="spellEnd"/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 trascendentale e le intuizioni pure, la Logica trascendentale e le categorie, l’Io penso, la Dialettica trascendentale</w:t>
      </w:r>
    </w:p>
    <w:p w14:paraId="0E475E19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>∙ La Critica della ragion pratica: l’autonomia della ragione morale, massime e imperativi, i postulati, il sommo bene, il primato della ragion pratica</w:t>
      </w:r>
    </w:p>
    <w:p w14:paraId="62F19256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887E25A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>L’IDEALISMO</w:t>
      </w:r>
    </w:p>
    <w:p w14:paraId="4003933A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>∙ La concezione della ragione nel Romanticismo</w:t>
      </w:r>
    </w:p>
    <w:p w14:paraId="6433ED90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>∙ Caratteri generali dell’Idealismo</w:t>
      </w:r>
    </w:p>
    <w:p w14:paraId="372D90D1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D42D44">
        <w:rPr>
          <w:rFonts w:ascii="Arial" w:eastAsia="Arial" w:hAnsi="Arial" w:cs="Arial"/>
          <w:color w:val="000000"/>
          <w:sz w:val="22"/>
          <w:szCs w:val="22"/>
        </w:rPr>
        <w:t>Hegel</w:t>
      </w:r>
      <w:proofErr w:type="spellEnd"/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A198428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Vita e opere </w:t>
      </w:r>
    </w:p>
    <w:p w14:paraId="6FEFD163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La concezione della realtà </w:t>
      </w:r>
    </w:p>
    <w:p w14:paraId="5E40C184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La Fenomenologia dello Spirito: struttura generale dell’opera e figure principali </w:t>
      </w:r>
    </w:p>
    <w:p w14:paraId="754CDD36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La Filosofia dello Spirito: Spirito oggettivo, assoluto </w:t>
      </w:r>
    </w:p>
    <w:p w14:paraId="20CF4EEA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C1328DF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LA REAZIONE AL PENSIERO HEGELIANO </w:t>
      </w:r>
    </w:p>
    <w:p w14:paraId="1613BFE4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Schopenhauer </w:t>
      </w:r>
    </w:p>
    <w:p w14:paraId="0EB54F3E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Vita e opere </w:t>
      </w:r>
    </w:p>
    <w:p w14:paraId="5CADC6F4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Il mondo come volontà e rappresentazione, caratteri fondamentali </w:t>
      </w:r>
    </w:p>
    <w:p w14:paraId="11B658C8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Le vie di liberazione dal dolore </w:t>
      </w:r>
    </w:p>
    <w:p w14:paraId="1B78B7D7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1317C04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Kierkegaard </w:t>
      </w:r>
    </w:p>
    <w:p w14:paraId="626F4ED0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Vita e opere </w:t>
      </w:r>
    </w:p>
    <w:p w14:paraId="632F6597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La critica al pensiero hegeliano </w:t>
      </w:r>
    </w:p>
    <w:p w14:paraId="2C5949F8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I tre stadi dell’esistenza </w:t>
      </w:r>
    </w:p>
    <w:p w14:paraId="78776916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>∙ Angoscia, disperazione e fede</w:t>
      </w:r>
    </w:p>
    <w:p w14:paraId="18076176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E32B811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D42D44">
        <w:rPr>
          <w:rFonts w:ascii="Arial" w:eastAsia="Arial" w:hAnsi="Arial" w:cs="Arial"/>
          <w:color w:val="000000"/>
          <w:sz w:val="22"/>
          <w:szCs w:val="22"/>
        </w:rPr>
        <w:t>Feuerbach</w:t>
      </w:r>
      <w:proofErr w:type="spellEnd"/>
    </w:p>
    <w:p w14:paraId="2ACC59F7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Vita e opere </w:t>
      </w:r>
    </w:p>
    <w:p w14:paraId="7CA420E2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La critica al pensiero hegeliano </w:t>
      </w:r>
    </w:p>
    <w:p w14:paraId="3F8E7B3B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>∙ Il concetto di alienazione</w:t>
      </w:r>
    </w:p>
    <w:p w14:paraId="581A6D75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>∙ l’origine della religione</w:t>
      </w:r>
    </w:p>
    <w:p w14:paraId="08E61858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>∙ L’ateismo come dovere morale e l’umanesimo</w:t>
      </w:r>
    </w:p>
    <w:p w14:paraId="7E409E97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010F0A8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I MAESTRI DEL SOSPETTO </w:t>
      </w:r>
    </w:p>
    <w:p w14:paraId="74ED22C9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D42D44">
        <w:rPr>
          <w:rFonts w:ascii="Arial" w:eastAsia="Arial" w:hAnsi="Arial" w:cs="Arial"/>
          <w:color w:val="000000"/>
          <w:sz w:val="22"/>
          <w:szCs w:val="22"/>
        </w:rPr>
        <w:t>Marx</w:t>
      </w:r>
      <w:proofErr w:type="spellEnd"/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85C7D58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Vita e opere </w:t>
      </w:r>
    </w:p>
    <w:p w14:paraId="1F416A6B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La critica a </w:t>
      </w:r>
      <w:proofErr w:type="spellStart"/>
      <w:r w:rsidRPr="00D42D44">
        <w:rPr>
          <w:rFonts w:ascii="Arial" w:eastAsia="Arial" w:hAnsi="Arial" w:cs="Arial"/>
          <w:color w:val="000000"/>
          <w:sz w:val="22"/>
          <w:szCs w:val="22"/>
        </w:rPr>
        <w:t>Hegel</w:t>
      </w:r>
      <w:proofErr w:type="spellEnd"/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B9C4F5B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La concezione materialistica della storia </w:t>
      </w:r>
    </w:p>
    <w:p w14:paraId="269D30A6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Il concetto di alienazione </w:t>
      </w:r>
    </w:p>
    <w:p w14:paraId="77601AEE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Il Manifesto del partito </w:t>
      </w:r>
      <w:proofErr w:type="spellStart"/>
      <w:r w:rsidRPr="00D42D44">
        <w:rPr>
          <w:rFonts w:ascii="Arial" w:eastAsia="Arial" w:hAnsi="Arial" w:cs="Arial"/>
          <w:color w:val="000000"/>
          <w:sz w:val="22"/>
          <w:szCs w:val="22"/>
        </w:rPr>
        <w:t>comnista</w:t>
      </w:r>
      <w:proofErr w:type="spellEnd"/>
    </w:p>
    <w:p w14:paraId="3CF6195E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>∙ La dittatura del proletariato</w:t>
      </w:r>
    </w:p>
    <w:p w14:paraId="4837FD32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>∙ Il Capitale</w:t>
      </w:r>
    </w:p>
    <w:p w14:paraId="26F93D09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2A73BE4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Nietzsche </w:t>
      </w:r>
    </w:p>
    <w:p w14:paraId="24B16775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Vita e opere </w:t>
      </w:r>
    </w:p>
    <w:p w14:paraId="44DAADE0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La questione metodologica </w:t>
      </w:r>
    </w:p>
    <w:p w14:paraId="144D30F6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>∙ Apollineo e dionisiaco ne La nascita della tragedia</w:t>
      </w:r>
    </w:p>
    <w:p w14:paraId="705C04E3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Il problema morale: la “morte di Dio” e la fine della filosofia </w:t>
      </w:r>
    </w:p>
    <w:p w14:paraId="15346929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>∙ L’</w:t>
      </w:r>
      <w:proofErr w:type="spellStart"/>
      <w:r w:rsidRPr="00D42D44">
        <w:rPr>
          <w:rFonts w:ascii="Arial" w:eastAsia="Arial" w:hAnsi="Arial" w:cs="Arial"/>
          <w:color w:val="000000"/>
          <w:sz w:val="22"/>
          <w:szCs w:val="22"/>
        </w:rPr>
        <w:t>Oltreuomo</w:t>
      </w:r>
      <w:proofErr w:type="spellEnd"/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 e l’eterno ritorno </w:t>
      </w:r>
    </w:p>
    <w:p w14:paraId="16B30491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CC2EAC4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Freud </w:t>
      </w:r>
    </w:p>
    <w:p w14:paraId="0CB554F9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Vita e opere </w:t>
      </w:r>
    </w:p>
    <w:p w14:paraId="23897A00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L’ Interpretazione dei sogni </w:t>
      </w:r>
    </w:p>
    <w:p w14:paraId="6C1A058C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Il complesso di Edipo </w:t>
      </w:r>
    </w:p>
    <w:p w14:paraId="3D53CADD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La psicoanalisi e lo studio dell’Inconscio </w:t>
      </w:r>
    </w:p>
    <w:p w14:paraId="529A55A1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La struttura della psiche </w:t>
      </w:r>
    </w:p>
    <w:p w14:paraId="05D3D70F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∙ Il “disagio della civiltà” </w:t>
      </w:r>
    </w:p>
    <w:p w14:paraId="2AEE1E90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173210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Lettura dei brani: </w:t>
      </w:r>
    </w:p>
    <w:p w14:paraId="70E848AE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F. </w:t>
      </w:r>
      <w:proofErr w:type="spellStart"/>
      <w:r w:rsidRPr="00D42D44">
        <w:rPr>
          <w:rFonts w:ascii="Arial" w:eastAsia="Arial" w:hAnsi="Arial" w:cs="Arial"/>
          <w:color w:val="000000"/>
          <w:sz w:val="22"/>
          <w:szCs w:val="22"/>
        </w:rPr>
        <w:t>Schelling</w:t>
      </w:r>
      <w:proofErr w:type="spellEnd"/>
      <w:r w:rsidRPr="00D42D44">
        <w:rPr>
          <w:rFonts w:ascii="Arial" w:eastAsia="Arial" w:hAnsi="Arial" w:cs="Arial"/>
          <w:color w:val="000000"/>
          <w:sz w:val="22"/>
          <w:szCs w:val="22"/>
        </w:rPr>
        <w:t>, Introduzione ad Idee per una filosofia della natura, Sistema dell'idealismo trascendentale.</w:t>
      </w:r>
    </w:p>
    <w:p w14:paraId="1A39363F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G.W.F. </w:t>
      </w:r>
      <w:proofErr w:type="spellStart"/>
      <w:r w:rsidRPr="00D42D44">
        <w:rPr>
          <w:rFonts w:ascii="Arial" w:eastAsia="Arial" w:hAnsi="Arial" w:cs="Arial"/>
          <w:color w:val="000000"/>
          <w:sz w:val="22"/>
          <w:szCs w:val="22"/>
        </w:rPr>
        <w:t>Hegel</w:t>
      </w:r>
      <w:proofErr w:type="spellEnd"/>
      <w:r w:rsidRPr="00D42D44">
        <w:rPr>
          <w:rFonts w:ascii="Arial" w:eastAsia="Arial" w:hAnsi="Arial" w:cs="Arial"/>
          <w:color w:val="000000"/>
          <w:sz w:val="22"/>
          <w:szCs w:val="22"/>
        </w:rPr>
        <w:t>, Dalla sostanza delle cose al soggetto del mondo.</w:t>
      </w:r>
    </w:p>
    <w:p w14:paraId="1FE2CC41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>Dalla Sostanza al soggetto.</w:t>
      </w:r>
    </w:p>
    <w:p w14:paraId="5AC2AA62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proofErr w:type="gramStart"/>
      <w:r w:rsidRPr="00D42D44">
        <w:rPr>
          <w:rFonts w:ascii="Arial" w:eastAsia="Arial" w:hAnsi="Arial" w:cs="Arial"/>
          <w:color w:val="000000"/>
          <w:sz w:val="22"/>
          <w:szCs w:val="22"/>
        </w:rPr>
        <w:t>A.Schopenhauer</w:t>
      </w:r>
      <w:proofErr w:type="spellEnd"/>
      <w:proofErr w:type="gramEnd"/>
      <w:r w:rsidRPr="00D42D44">
        <w:rPr>
          <w:rFonts w:ascii="Arial" w:eastAsia="Arial" w:hAnsi="Arial" w:cs="Arial"/>
          <w:color w:val="000000"/>
          <w:sz w:val="22"/>
          <w:szCs w:val="22"/>
        </w:rPr>
        <w:t>, L’ascesi.</w:t>
      </w:r>
    </w:p>
    <w:p w14:paraId="790F6A75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>Il Cristianesimo secondo Kierkegaard.</w:t>
      </w:r>
    </w:p>
    <w:p w14:paraId="5F740A2E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 xml:space="preserve">L. </w:t>
      </w:r>
      <w:proofErr w:type="spellStart"/>
      <w:r w:rsidRPr="00D42D44">
        <w:rPr>
          <w:rFonts w:ascii="Arial" w:eastAsia="Arial" w:hAnsi="Arial" w:cs="Arial"/>
          <w:color w:val="000000"/>
          <w:sz w:val="22"/>
          <w:szCs w:val="22"/>
        </w:rPr>
        <w:t>Feuerbach</w:t>
      </w:r>
      <w:proofErr w:type="spellEnd"/>
      <w:r w:rsidRPr="00D42D44">
        <w:rPr>
          <w:rFonts w:ascii="Arial" w:eastAsia="Arial" w:hAnsi="Arial" w:cs="Arial"/>
          <w:color w:val="000000"/>
          <w:sz w:val="22"/>
          <w:szCs w:val="22"/>
        </w:rPr>
        <w:t>, L’autentica natura della religione.</w:t>
      </w:r>
    </w:p>
    <w:p w14:paraId="01B77456" w14:textId="77777777" w:rsidR="00D42D44" w:rsidRPr="00D42D44" w:rsidRDefault="00D42D44" w:rsidP="00D42D44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2D44">
        <w:rPr>
          <w:rFonts w:ascii="Arial" w:eastAsia="Arial" w:hAnsi="Arial" w:cs="Arial"/>
          <w:color w:val="000000"/>
          <w:sz w:val="22"/>
          <w:szCs w:val="22"/>
        </w:rPr>
        <w:t>F. Nietzsche, L’eterno ritorno.</w:t>
      </w:r>
    </w:p>
    <w:p w14:paraId="00000047" w14:textId="4AE983D7" w:rsidR="006928A7" w:rsidRDefault="006928A7" w:rsidP="00D42D44">
      <w:p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</w:p>
    <w:sectPr w:rsidR="006928A7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A7"/>
    <w:rsid w:val="006928A7"/>
    <w:rsid w:val="00C3107C"/>
    <w:rsid w:val="00D4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B0C0"/>
  <w15:docId w15:val="{4114A449-B817-411B-867F-DEA3D97A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D02D04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3KcsHcEwpGIKIWFpKZAi+JdV2w==">AMUW2mV91xcpdmXAhzxeScUokTRA3wWgixEi4LWQta0UzyRwlNVkYOXyz9ajYKlPAz3vbgcWLYdrWCDVd/icIK+aru73r7CbnR1fUJHS7yNY0r3ZICGfy2a72LlJO13KzXd1OH6WGREc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NEVIO TOSORATTI</dc:creator>
  <cp:lastModifiedBy>chiara.chinello</cp:lastModifiedBy>
  <cp:revision>2</cp:revision>
  <dcterms:created xsi:type="dcterms:W3CDTF">2022-06-06T08:57:00Z</dcterms:created>
  <dcterms:modified xsi:type="dcterms:W3CDTF">2022-06-06T08:57:00Z</dcterms:modified>
</cp:coreProperties>
</file>